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河南师范大学201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、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0"/>
          <w:szCs w:val="30"/>
        </w:rPr>
        <w:t>201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0"/>
          <w:szCs w:val="30"/>
        </w:rPr>
        <w:t>年度“三育人”先进集体考核表</w:t>
      </w:r>
    </w:p>
    <w:tbl>
      <w:tblPr>
        <w:tblStyle w:val="2"/>
        <w:tblpPr w:leftFromText="180" w:rightFromText="180" w:vertAnchor="text" w:horzAnchor="margin" w:tblpXSpec="center" w:tblpY="637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623"/>
        <w:gridCol w:w="4785"/>
        <w:gridCol w:w="885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项 目</w:t>
            </w: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考核内容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标分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领导班子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表率作用好</w:t>
            </w: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领导班子团结，作风民主，表率作用好，党、政、工、团齐抓共管。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领导重视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组织健全</w:t>
            </w: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建立“三育人”工作领导机构或联席会议制度，把“三育人”工作列入年度工作计划，并建立有考核制度，“三育人”工作档案规范。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开展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“三育人”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系列活动</w:t>
            </w: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有组织、有计划，开展多种形式的“三育人”活动，组织“三育人”事迹报告会并积极参加学校组织的会议；教学单位能认真开展评教活动。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职业道德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建设</w:t>
            </w: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结合本单位实际，制定岗位职责，遵守职业道德规范，无教学、管理责任事故，服务对象满意度高。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工作成效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显著</w:t>
            </w: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教学、科研、提高教师素质、青年教工业务技能培训等成效显著。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其他工作</w:t>
            </w: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无违法违纪事件，能较好完成学校分配的任务，关心生活困难学生，积极参加各项社会公益活动。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总分</w:t>
            </w:r>
          </w:p>
        </w:tc>
        <w:tc>
          <w:tcPr>
            <w:tcW w:w="16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100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480" w:lineRule="auto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单位（盖章）：                                 201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70"/>
    <w:rsid w:val="004D4974"/>
    <w:rsid w:val="00963570"/>
    <w:rsid w:val="36374E77"/>
    <w:rsid w:val="5B3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2017-03-17T07:11:00Z</dcterms:created>
  <dc:creator>User</dc:creator>
  <cp:lastModifiedBy>林之秀</cp:lastModifiedBy>
  <dcterms:modified xsi:type="dcterms:W3CDTF">2019-06-04T02:00:34Z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