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C51" w:rsidRDefault="00B93C51" w:rsidP="003E739C">
      <w:pPr>
        <w:adjustRightInd w:val="0"/>
        <w:snapToGrid w:val="0"/>
        <w:spacing w:line="360" w:lineRule="auto"/>
        <w:jc w:val="center"/>
        <w:rPr>
          <w:rFonts w:ascii="黑体" w:eastAsia="黑体" w:hAnsi="宋体"/>
          <w:sz w:val="36"/>
          <w:szCs w:val="36"/>
        </w:rPr>
      </w:pPr>
      <w:bookmarkStart w:id="0" w:name="_GoBack"/>
      <w:r>
        <w:rPr>
          <w:rFonts w:ascii="黑体" w:eastAsia="黑体" w:hAnsi="宋体" w:cs="黑体" w:hint="eastAsia"/>
          <w:sz w:val="36"/>
          <w:szCs w:val="36"/>
        </w:rPr>
        <w:t>河南师范大学研究生教学工作量核算办法</w:t>
      </w:r>
      <w:bookmarkEnd w:id="0"/>
    </w:p>
    <w:p w:rsidR="00B93C51" w:rsidRDefault="00B93C51" w:rsidP="003E739C">
      <w:pPr>
        <w:spacing w:line="560" w:lineRule="exact"/>
        <w:ind w:firstLineChars="200" w:firstLine="640"/>
      </w:pPr>
      <w:r>
        <w:rPr>
          <w:rFonts w:hint="eastAsia"/>
        </w:rPr>
        <w:t>为充分调动教师从事研究生教学工作和指导论文工作的积极性和主动性，根据我校研究生教育的实际情况，特制定本办法。</w:t>
      </w:r>
    </w:p>
    <w:p w:rsidR="00B93C51" w:rsidRDefault="00B93C51" w:rsidP="003E739C">
      <w:pPr>
        <w:spacing w:line="560" w:lineRule="exact"/>
        <w:ind w:firstLineChars="200" w:firstLine="643"/>
        <w:rPr>
          <w:b/>
          <w:bCs/>
        </w:rPr>
      </w:pPr>
      <w:r>
        <w:rPr>
          <w:rFonts w:hint="eastAsia"/>
          <w:b/>
          <w:bCs/>
        </w:rPr>
        <w:t>一、计算原则</w:t>
      </w:r>
    </w:p>
    <w:p w:rsidR="00B93C51" w:rsidRDefault="00B93C51" w:rsidP="003E739C">
      <w:pPr>
        <w:spacing w:line="560" w:lineRule="exact"/>
        <w:ind w:firstLineChars="200" w:firstLine="640"/>
      </w:pPr>
      <w:r>
        <w:t>1.</w:t>
      </w:r>
      <w:r>
        <w:rPr>
          <w:rFonts w:hint="eastAsia"/>
        </w:rPr>
        <w:t>教学工作量主要包括课程教学、学位论文指导、学术讲座、指导专业实践和研究生科研创新项目等。根据研究生培养方案开设的课程教学及其它培养环节均计入工作量；课程教学工作量包括课堂教学与讨论、批改作业、命题、考试、评卷；学位论文指导工作量包括文献阅读指导、学位论文开题、论文指导、论文答辩。</w:t>
      </w:r>
    </w:p>
    <w:p w:rsidR="00B93C51" w:rsidRDefault="00B93C51" w:rsidP="003E739C">
      <w:pPr>
        <w:spacing w:line="560" w:lineRule="exact"/>
        <w:ind w:firstLineChars="200" w:firstLine="640"/>
      </w:pPr>
      <w:r>
        <w:t>2.</w:t>
      </w:r>
      <w:r>
        <w:rPr>
          <w:rFonts w:hint="eastAsia"/>
        </w:rPr>
        <w:t>课程教学工作量依据各学院按照培养方案提交的各学期课程表计算，学位论文指导的工作量依据当年通过学位论文答辩的人数计算。</w:t>
      </w:r>
    </w:p>
    <w:p w:rsidR="00B93C51" w:rsidRDefault="00B93C51" w:rsidP="003E739C">
      <w:pPr>
        <w:spacing w:line="560" w:lineRule="exact"/>
        <w:ind w:firstLineChars="200" w:firstLine="640"/>
      </w:pPr>
      <w:r>
        <w:t>3.</w:t>
      </w:r>
      <w:r>
        <w:rPr>
          <w:rFonts w:hint="eastAsia"/>
        </w:rPr>
        <w:t>课程教学工作量有实际工作量和标准工作量两种，本办法按照标准工作量计算。标准工作量由实际工作量按照不同的换算系数计算得出。学位论文指导的工作量按标准工作量计算。</w:t>
      </w:r>
    </w:p>
    <w:p w:rsidR="00B93C51" w:rsidRDefault="00B93C51" w:rsidP="003E739C">
      <w:pPr>
        <w:spacing w:line="560" w:lineRule="exact"/>
        <w:ind w:firstLineChars="200" w:firstLine="640"/>
      </w:pPr>
      <w:r>
        <w:t>4.</w:t>
      </w:r>
      <w:r>
        <w:rPr>
          <w:rFonts w:hint="eastAsia"/>
        </w:rPr>
        <w:t>工作量实行两级核算，学校主管部门负责公修课的核算，各教学单位负责专业课的核算和学位论文指导工作量的核算。各单位核算的工作量经主管部门认定后，由主管部门汇总、统计各教学单位的总工作量。纳入教学工作量核算的前提必须是学校主管部门组织的评教达到规定的合格标准的课程。</w:t>
      </w:r>
    </w:p>
    <w:p w:rsidR="00B93C51" w:rsidRDefault="00B93C51" w:rsidP="003E739C">
      <w:pPr>
        <w:spacing w:line="560" w:lineRule="exact"/>
        <w:ind w:firstLineChars="200" w:firstLine="640"/>
      </w:pPr>
      <w:r>
        <w:t>5.</w:t>
      </w:r>
      <w:r>
        <w:rPr>
          <w:rFonts w:hint="eastAsia"/>
        </w:rPr>
        <w:t>本办法只适用于计算全日制研究生的教学工作量。</w:t>
      </w:r>
    </w:p>
    <w:p w:rsidR="00B93C51" w:rsidRDefault="00B93C51" w:rsidP="003E739C">
      <w:pPr>
        <w:spacing w:line="560" w:lineRule="exact"/>
        <w:ind w:firstLineChars="200" w:firstLine="643"/>
        <w:rPr>
          <w:b/>
          <w:bCs/>
        </w:rPr>
      </w:pPr>
      <w:r>
        <w:rPr>
          <w:rFonts w:hint="eastAsia"/>
          <w:b/>
          <w:bCs/>
        </w:rPr>
        <w:t>二、课程教学</w:t>
      </w:r>
    </w:p>
    <w:p w:rsidR="00B93C51" w:rsidRDefault="00B93C51" w:rsidP="003E739C">
      <w:pPr>
        <w:spacing w:line="560" w:lineRule="exact"/>
        <w:ind w:firstLineChars="200" w:firstLine="640"/>
      </w:pPr>
      <w:r>
        <w:t>1.</w:t>
      </w:r>
      <w:r>
        <w:rPr>
          <w:rFonts w:hint="eastAsia"/>
        </w:rPr>
        <w:t>计算公式</w:t>
      </w:r>
    </w:p>
    <w:p w:rsidR="00B93C51" w:rsidRDefault="00B93C51" w:rsidP="003E739C">
      <w:pPr>
        <w:spacing w:line="560" w:lineRule="exact"/>
        <w:ind w:firstLineChars="200" w:firstLine="640"/>
      </w:pPr>
      <w:r>
        <w:rPr>
          <w:rFonts w:hint="eastAsia"/>
        </w:rPr>
        <w:t>标准课时＝实际课时×班级人数系数×课程类别系数×职称系数</w:t>
      </w:r>
    </w:p>
    <w:p w:rsidR="00B93C51" w:rsidRDefault="00B93C51" w:rsidP="003E739C">
      <w:pPr>
        <w:spacing w:line="560" w:lineRule="exact"/>
        <w:ind w:firstLineChars="200" w:firstLine="640"/>
      </w:pPr>
      <w:r>
        <w:t>2.</w:t>
      </w:r>
      <w:r>
        <w:rPr>
          <w:rFonts w:hint="eastAsia"/>
        </w:rPr>
        <w:t>换算系数</w:t>
      </w:r>
    </w:p>
    <w:p w:rsidR="00B93C51" w:rsidRDefault="00B93C51" w:rsidP="003E739C">
      <w:pPr>
        <w:spacing w:line="560" w:lineRule="exact"/>
        <w:ind w:firstLineChars="200" w:firstLine="640"/>
        <w:rPr>
          <w:color w:val="000000"/>
        </w:rPr>
      </w:pPr>
      <w:r>
        <w:rPr>
          <w:rFonts w:hint="eastAsia"/>
          <w:color w:val="000000"/>
        </w:rPr>
        <w:t>（</w:t>
      </w:r>
      <w:r>
        <w:rPr>
          <w:color w:val="000000"/>
        </w:rPr>
        <w:t>1</w:t>
      </w:r>
      <w:r>
        <w:rPr>
          <w:rFonts w:hint="eastAsia"/>
          <w:color w:val="000000"/>
        </w:rPr>
        <w:t>）班级人数系数：</w:t>
      </w:r>
    </w:p>
    <w:p w:rsidR="00B93C51" w:rsidRDefault="00B93C51" w:rsidP="003E739C">
      <w:pPr>
        <w:spacing w:line="560" w:lineRule="exact"/>
        <w:ind w:firstLineChars="200" w:firstLine="640"/>
        <w:rPr>
          <w:color w:val="000000"/>
        </w:rPr>
      </w:pPr>
      <w:r>
        <w:rPr>
          <w:rFonts w:hint="eastAsia"/>
          <w:color w:val="000000"/>
        </w:rPr>
        <w:t>博士研究生：公共外语课和马克思主义理论课上课人数</w:t>
      </w:r>
      <w:r>
        <w:rPr>
          <w:color w:val="000000"/>
        </w:rPr>
        <w:t>10</w:t>
      </w:r>
      <w:r>
        <w:rPr>
          <w:rFonts w:hint="eastAsia"/>
          <w:color w:val="000000"/>
        </w:rPr>
        <w:t>人以下</w:t>
      </w:r>
      <w:r>
        <w:rPr>
          <w:color w:val="000000"/>
        </w:rPr>
        <w:t>(</w:t>
      </w:r>
      <w:r>
        <w:rPr>
          <w:rFonts w:hint="eastAsia"/>
          <w:color w:val="000000"/>
        </w:rPr>
        <w:t>含</w:t>
      </w:r>
      <w:r>
        <w:rPr>
          <w:color w:val="000000"/>
        </w:rPr>
        <w:t>10</w:t>
      </w:r>
      <w:r>
        <w:rPr>
          <w:rFonts w:hint="eastAsia"/>
          <w:color w:val="000000"/>
        </w:rPr>
        <w:t>人</w:t>
      </w:r>
      <w:r>
        <w:rPr>
          <w:color w:val="000000"/>
        </w:rPr>
        <w:t>),</w:t>
      </w:r>
      <w:r>
        <w:rPr>
          <w:rFonts w:hint="eastAsia"/>
          <w:color w:val="000000"/>
        </w:rPr>
        <w:t>班级人数系数为</w:t>
      </w:r>
      <w:r>
        <w:rPr>
          <w:color w:val="000000"/>
        </w:rPr>
        <w:t>1</w:t>
      </w:r>
      <w:r>
        <w:rPr>
          <w:rFonts w:hint="eastAsia"/>
          <w:color w:val="000000"/>
        </w:rPr>
        <w:t>。若超过</w:t>
      </w:r>
      <w:r>
        <w:rPr>
          <w:color w:val="000000"/>
        </w:rPr>
        <w:t>10</w:t>
      </w:r>
      <w:r>
        <w:rPr>
          <w:rFonts w:hint="eastAsia"/>
          <w:color w:val="000000"/>
        </w:rPr>
        <w:t>人，每增加</w:t>
      </w:r>
      <w:r>
        <w:rPr>
          <w:color w:val="000000"/>
        </w:rPr>
        <w:t>1</w:t>
      </w:r>
      <w:r>
        <w:rPr>
          <w:rFonts w:hint="eastAsia"/>
          <w:color w:val="000000"/>
        </w:rPr>
        <w:t>人，换算系数增加</w:t>
      </w:r>
      <w:r>
        <w:rPr>
          <w:color w:val="000000"/>
        </w:rPr>
        <w:t>0.02</w:t>
      </w:r>
      <w:r>
        <w:rPr>
          <w:rFonts w:hint="eastAsia"/>
          <w:color w:val="000000"/>
        </w:rPr>
        <w:t>；专业课程上课人数</w:t>
      </w:r>
      <w:r>
        <w:rPr>
          <w:color w:val="000000"/>
        </w:rPr>
        <w:t>5</w:t>
      </w:r>
      <w:r>
        <w:rPr>
          <w:rFonts w:hint="eastAsia"/>
          <w:color w:val="000000"/>
        </w:rPr>
        <w:t>人以下（含</w:t>
      </w:r>
      <w:r>
        <w:rPr>
          <w:color w:val="000000"/>
        </w:rPr>
        <w:t>5</w:t>
      </w:r>
      <w:r>
        <w:rPr>
          <w:rFonts w:hint="eastAsia"/>
          <w:color w:val="000000"/>
        </w:rPr>
        <w:t>人），班级人数系数为</w:t>
      </w:r>
      <w:r>
        <w:rPr>
          <w:color w:val="000000"/>
        </w:rPr>
        <w:t>1</w:t>
      </w:r>
      <w:r>
        <w:rPr>
          <w:rFonts w:hint="eastAsia"/>
          <w:color w:val="000000"/>
        </w:rPr>
        <w:t>。若超过</w:t>
      </w:r>
      <w:r>
        <w:rPr>
          <w:color w:val="000000"/>
        </w:rPr>
        <w:t>5</w:t>
      </w:r>
      <w:r>
        <w:rPr>
          <w:rFonts w:hint="eastAsia"/>
          <w:color w:val="000000"/>
        </w:rPr>
        <w:t>人，每增加</w:t>
      </w:r>
      <w:r>
        <w:rPr>
          <w:color w:val="000000"/>
        </w:rPr>
        <w:t>1</w:t>
      </w:r>
      <w:r>
        <w:rPr>
          <w:rFonts w:hint="eastAsia"/>
          <w:color w:val="000000"/>
        </w:rPr>
        <w:t>人，换算系数增加</w:t>
      </w:r>
      <w:r>
        <w:rPr>
          <w:color w:val="000000"/>
        </w:rPr>
        <w:t>0.05</w:t>
      </w:r>
      <w:r>
        <w:rPr>
          <w:rFonts w:hint="eastAsia"/>
          <w:color w:val="000000"/>
        </w:rPr>
        <w:t>。</w:t>
      </w:r>
    </w:p>
    <w:p w:rsidR="00B93C51" w:rsidRDefault="00B93C51" w:rsidP="003E739C">
      <w:pPr>
        <w:spacing w:line="560" w:lineRule="exact"/>
        <w:ind w:firstLineChars="200" w:firstLine="640"/>
        <w:rPr>
          <w:color w:val="000000"/>
        </w:rPr>
      </w:pPr>
      <w:r>
        <w:rPr>
          <w:rFonts w:hint="eastAsia"/>
          <w:color w:val="000000"/>
        </w:rPr>
        <w:t>硕士研究生：公共外语课上课人数</w:t>
      </w:r>
      <w:r>
        <w:rPr>
          <w:color w:val="000000"/>
        </w:rPr>
        <w:t>30</w:t>
      </w:r>
      <w:r>
        <w:rPr>
          <w:rFonts w:hint="eastAsia"/>
          <w:color w:val="000000"/>
        </w:rPr>
        <w:t>人以下（含</w:t>
      </w:r>
      <w:r>
        <w:rPr>
          <w:color w:val="000000"/>
        </w:rPr>
        <w:t>30</w:t>
      </w:r>
      <w:r>
        <w:rPr>
          <w:rFonts w:hint="eastAsia"/>
          <w:color w:val="000000"/>
        </w:rPr>
        <w:t>人）、马克思主义理论课上课人数</w:t>
      </w:r>
      <w:r>
        <w:rPr>
          <w:color w:val="000000"/>
        </w:rPr>
        <w:t>40</w:t>
      </w:r>
      <w:r>
        <w:rPr>
          <w:rFonts w:hint="eastAsia"/>
          <w:color w:val="000000"/>
        </w:rPr>
        <w:t>人以下（含</w:t>
      </w:r>
      <w:r>
        <w:rPr>
          <w:color w:val="000000"/>
        </w:rPr>
        <w:t>40</w:t>
      </w:r>
      <w:r>
        <w:rPr>
          <w:rFonts w:hint="eastAsia"/>
          <w:color w:val="000000"/>
        </w:rPr>
        <w:t>人），班级人数系数为</w:t>
      </w:r>
      <w:r>
        <w:rPr>
          <w:color w:val="000000"/>
        </w:rPr>
        <w:t>1</w:t>
      </w:r>
      <w:r>
        <w:rPr>
          <w:rFonts w:hint="eastAsia"/>
          <w:color w:val="000000"/>
        </w:rPr>
        <w:t>。若上课人数增加，每增加</w:t>
      </w:r>
      <w:r>
        <w:rPr>
          <w:color w:val="000000"/>
        </w:rPr>
        <w:t>1</w:t>
      </w:r>
      <w:r>
        <w:rPr>
          <w:rFonts w:hint="eastAsia"/>
          <w:color w:val="000000"/>
        </w:rPr>
        <w:t>人，换算系数增加</w:t>
      </w:r>
      <w:r>
        <w:rPr>
          <w:color w:val="000000"/>
        </w:rPr>
        <w:t>0.01</w:t>
      </w:r>
      <w:r>
        <w:rPr>
          <w:rFonts w:hint="eastAsia"/>
          <w:color w:val="000000"/>
        </w:rPr>
        <w:t>；专业课程上课人数</w:t>
      </w:r>
      <w:r>
        <w:rPr>
          <w:color w:val="000000"/>
        </w:rPr>
        <w:t>5-15</w:t>
      </w:r>
      <w:r>
        <w:rPr>
          <w:rFonts w:hint="eastAsia"/>
          <w:color w:val="000000"/>
        </w:rPr>
        <w:t>人，课程系数为</w:t>
      </w:r>
      <w:r>
        <w:rPr>
          <w:color w:val="000000"/>
        </w:rPr>
        <w:t>1</w:t>
      </w:r>
      <w:r>
        <w:rPr>
          <w:rFonts w:hint="eastAsia"/>
          <w:color w:val="000000"/>
        </w:rPr>
        <w:t>。若上课人数超过</w:t>
      </w:r>
      <w:r>
        <w:rPr>
          <w:color w:val="000000"/>
        </w:rPr>
        <w:t>15</w:t>
      </w:r>
      <w:r>
        <w:rPr>
          <w:rFonts w:hint="eastAsia"/>
          <w:color w:val="000000"/>
        </w:rPr>
        <w:t>人，每增加</w:t>
      </w:r>
      <w:r>
        <w:rPr>
          <w:color w:val="000000"/>
        </w:rPr>
        <w:t>1</w:t>
      </w:r>
      <w:r>
        <w:rPr>
          <w:rFonts w:hint="eastAsia"/>
          <w:color w:val="000000"/>
        </w:rPr>
        <w:t>人，换算系数增加</w:t>
      </w:r>
      <w:r>
        <w:rPr>
          <w:color w:val="000000"/>
        </w:rPr>
        <w:t>0.02</w:t>
      </w:r>
      <w:r>
        <w:rPr>
          <w:rFonts w:hint="eastAsia"/>
          <w:color w:val="000000"/>
        </w:rPr>
        <w:t>。若上课人数不足</w:t>
      </w:r>
      <w:r>
        <w:rPr>
          <w:color w:val="000000"/>
        </w:rPr>
        <w:t>5</w:t>
      </w:r>
      <w:r>
        <w:rPr>
          <w:rFonts w:hint="eastAsia"/>
          <w:color w:val="000000"/>
        </w:rPr>
        <w:t>人，班级人数系数为</w:t>
      </w:r>
      <w:r>
        <w:rPr>
          <w:color w:val="000000"/>
        </w:rPr>
        <w:t>0.9</w:t>
      </w:r>
      <w:r>
        <w:rPr>
          <w:rFonts w:hint="eastAsia"/>
          <w:color w:val="000000"/>
        </w:rPr>
        <w:t>。</w:t>
      </w:r>
    </w:p>
    <w:p w:rsidR="00B93C51" w:rsidRDefault="00B93C51" w:rsidP="003E739C">
      <w:pPr>
        <w:spacing w:line="560" w:lineRule="exact"/>
        <w:ind w:firstLineChars="200" w:firstLine="640"/>
        <w:rPr>
          <w:b/>
          <w:bCs/>
          <w:color w:val="000000"/>
        </w:rPr>
      </w:pPr>
      <w:r>
        <w:rPr>
          <w:rFonts w:hint="eastAsia"/>
          <w:color w:val="000000"/>
        </w:rPr>
        <w:t>上述所有课程的班级人数系数最高不超过</w:t>
      </w:r>
      <w:r>
        <w:rPr>
          <w:color w:val="000000"/>
        </w:rPr>
        <w:t>3</w:t>
      </w:r>
      <w:r>
        <w:rPr>
          <w:rFonts w:hint="eastAsia"/>
          <w:color w:val="000000"/>
        </w:rPr>
        <w:t>。</w:t>
      </w:r>
    </w:p>
    <w:p w:rsidR="00B93C51" w:rsidRDefault="00B93C51" w:rsidP="003E739C">
      <w:pPr>
        <w:spacing w:line="560" w:lineRule="exact"/>
        <w:ind w:firstLineChars="200" w:firstLine="640"/>
      </w:pPr>
      <w:r>
        <w:rPr>
          <w:rFonts w:hint="eastAsia"/>
        </w:rPr>
        <w:t>（</w:t>
      </w:r>
      <w:r>
        <w:t>2</w:t>
      </w:r>
      <w:r>
        <w:rPr>
          <w:rFonts w:hint="eastAsia"/>
        </w:rPr>
        <w:t>）课程类别系数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23"/>
        <w:gridCol w:w="2338"/>
      </w:tblGrid>
      <w:tr w:rsidR="00B93C51" w:rsidTr="003C60F5">
        <w:trPr>
          <w:trHeight w:val="567"/>
          <w:jc w:val="center"/>
        </w:trPr>
        <w:tc>
          <w:tcPr>
            <w:tcW w:w="3623"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hint="eastAsia"/>
                <w:sz w:val="28"/>
                <w:szCs w:val="28"/>
              </w:rPr>
              <w:t>课程类别</w:t>
            </w:r>
          </w:p>
        </w:tc>
        <w:tc>
          <w:tcPr>
            <w:tcW w:w="2338"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hint="eastAsia"/>
                <w:sz w:val="28"/>
                <w:szCs w:val="28"/>
              </w:rPr>
              <w:t>系数</w:t>
            </w:r>
          </w:p>
        </w:tc>
      </w:tr>
      <w:tr w:rsidR="00B93C51" w:rsidTr="003C60F5">
        <w:trPr>
          <w:trHeight w:val="567"/>
          <w:jc w:val="center"/>
        </w:trPr>
        <w:tc>
          <w:tcPr>
            <w:tcW w:w="3623"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hint="eastAsia"/>
                <w:sz w:val="28"/>
                <w:szCs w:val="28"/>
              </w:rPr>
              <w:t>博士生课程</w:t>
            </w:r>
          </w:p>
        </w:tc>
        <w:tc>
          <w:tcPr>
            <w:tcW w:w="2338"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cs="宋体"/>
                <w:sz w:val="28"/>
                <w:szCs w:val="28"/>
              </w:rPr>
              <w:t>4</w:t>
            </w:r>
          </w:p>
        </w:tc>
      </w:tr>
      <w:tr w:rsidR="00B93C51" w:rsidTr="003C60F5">
        <w:trPr>
          <w:trHeight w:val="567"/>
          <w:jc w:val="center"/>
        </w:trPr>
        <w:tc>
          <w:tcPr>
            <w:tcW w:w="3623"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hint="eastAsia"/>
                <w:sz w:val="28"/>
                <w:szCs w:val="28"/>
              </w:rPr>
              <w:t>硕士生课程</w:t>
            </w:r>
          </w:p>
        </w:tc>
        <w:tc>
          <w:tcPr>
            <w:tcW w:w="2338" w:type="dxa"/>
            <w:vAlign w:val="center"/>
          </w:tcPr>
          <w:p w:rsidR="00B93C51" w:rsidRDefault="00B93C51" w:rsidP="003C60F5">
            <w:pPr>
              <w:adjustRightInd w:val="0"/>
              <w:snapToGrid w:val="0"/>
              <w:spacing w:line="400" w:lineRule="exact"/>
              <w:jc w:val="center"/>
              <w:rPr>
                <w:rFonts w:ascii="宋体" w:eastAsia="宋体"/>
                <w:sz w:val="28"/>
                <w:szCs w:val="28"/>
              </w:rPr>
            </w:pPr>
            <w:r>
              <w:rPr>
                <w:rFonts w:ascii="宋体" w:hAnsi="宋体" w:cs="宋体"/>
                <w:sz w:val="28"/>
                <w:szCs w:val="28"/>
              </w:rPr>
              <w:t>3</w:t>
            </w:r>
          </w:p>
        </w:tc>
      </w:tr>
    </w:tbl>
    <w:p w:rsidR="00B93C51" w:rsidRDefault="00B93C51" w:rsidP="003E739C">
      <w:pPr>
        <w:spacing w:line="560" w:lineRule="exact"/>
        <w:ind w:firstLineChars="200" w:firstLine="640"/>
      </w:pPr>
      <w:r>
        <w:rPr>
          <w:rFonts w:hint="eastAsia"/>
        </w:rPr>
        <w:t>（</w:t>
      </w:r>
      <w:r>
        <w:t>3</w:t>
      </w:r>
      <w:r>
        <w:rPr>
          <w:rFonts w:hint="eastAsia"/>
        </w:rPr>
        <w:t>）职称系数</w:t>
      </w:r>
    </w:p>
    <w:p w:rsidR="00B93C51" w:rsidRDefault="00B93C51" w:rsidP="003E739C">
      <w:pPr>
        <w:spacing w:line="560" w:lineRule="exact"/>
        <w:ind w:firstLineChars="200" w:firstLine="640"/>
      </w:pPr>
    </w:p>
    <w:tbl>
      <w:tblPr>
        <w:tblW w:w="6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668"/>
        <w:gridCol w:w="2340"/>
      </w:tblGrid>
      <w:tr w:rsidR="00B93C51" w:rsidTr="003C60F5">
        <w:trPr>
          <w:trHeight w:val="567"/>
          <w:jc w:val="center"/>
        </w:trPr>
        <w:tc>
          <w:tcPr>
            <w:tcW w:w="3668"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职称</w:t>
            </w:r>
          </w:p>
        </w:tc>
        <w:tc>
          <w:tcPr>
            <w:tcW w:w="2340"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系数</w:t>
            </w:r>
          </w:p>
        </w:tc>
      </w:tr>
      <w:tr w:rsidR="00B93C51" w:rsidTr="003C60F5">
        <w:trPr>
          <w:trHeight w:val="567"/>
          <w:jc w:val="center"/>
        </w:trPr>
        <w:tc>
          <w:tcPr>
            <w:tcW w:w="3668"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教授</w:t>
            </w:r>
          </w:p>
        </w:tc>
        <w:tc>
          <w:tcPr>
            <w:tcW w:w="2340"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cs="宋体"/>
                <w:sz w:val="28"/>
                <w:szCs w:val="28"/>
              </w:rPr>
              <w:t>1.2</w:t>
            </w:r>
          </w:p>
        </w:tc>
      </w:tr>
      <w:tr w:rsidR="00B93C51" w:rsidTr="003C60F5">
        <w:trPr>
          <w:trHeight w:val="567"/>
          <w:jc w:val="center"/>
        </w:trPr>
        <w:tc>
          <w:tcPr>
            <w:tcW w:w="3668"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副教授</w:t>
            </w:r>
          </w:p>
        </w:tc>
        <w:tc>
          <w:tcPr>
            <w:tcW w:w="2340"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cs="宋体"/>
                <w:sz w:val="28"/>
                <w:szCs w:val="28"/>
              </w:rPr>
              <w:t>1.1</w:t>
            </w:r>
          </w:p>
        </w:tc>
      </w:tr>
      <w:tr w:rsidR="00B93C51" w:rsidTr="003C60F5">
        <w:trPr>
          <w:trHeight w:val="567"/>
          <w:jc w:val="center"/>
        </w:trPr>
        <w:tc>
          <w:tcPr>
            <w:tcW w:w="3668"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讲师</w:t>
            </w:r>
          </w:p>
        </w:tc>
        <w:tc>
          <w:tcPr>
            <w:tcW w:w="2340"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cs="宋体"/>
                <w:sz w:val="28"/>
                <w:szCs w:val="28"/>
              </w:rPr>
              <w:t>1</w:t>
            </w:r>
          </w:p>
        </w:tc>
      </w:tr>
    </w:tbl>
    <w:p w:rsidR="00B93C51" w:rsidRDefault="00B93C51" w:rsidP="003E739C">
      <w:pPr>
        <w:spacing w:line="560" w:lineRule="exact"/>
        <w:ind w:firstLineChars="200" w:firstLine="640"/>
      </w:pPr>
    </w:p>
    <w:p w:rsidR="00B93C51" w:rsidRDefault="00B93C51" w:rsidP="003E739C">
      <w:pPr>
        <w:spacing w:line="560" w:lineRule="exact"/>
        <w:ind w:firstLineChars="200" w:firstLine="640"/>
      </w:pPr>
      <w:r>
        <w:t>3.</w:t>
      </w:r>
      <w:r>
        <w:rPr>
          <w:rFonts w:hint="eastAsia"/>
        </w:rPr>
        <w:t>必修课程考试监考</w:t>
      </w:r>
    </w:p>
    <w:p w:rsidR="00B93C51" w:rsidRDefault="00B93C51" w:rsidP="003E739C">
      <w:pPr>
        <w:spacing w:line="560" w:lineRule="exact"/>
        <w:ind w:firstLineChars="200" w:firstLine="640"/>
      </w:pPr>
      <w:r>
        <w:rPr>
          <w:rFonts w:hint="eastAsia"/>
        </w:rPr>
        <w:t>凡列入本年度研究生考试课且有老师具体施考的必修课程可计监考工作量，每名监考老师每监考一门课程计</w:t>
      </w:r>
      <w:r>
        <w:t>5.5</w:t>
      </w:r>
      <w:r>
        <w:rPr>
          <w:rFonts w:hint="eastAsia"/>
        </w:rPr>
        <w:t>个标准工作量。</w:t>
      </w:r>
    </w:p>
    <w:p w:rsidR="00B93C51" w:rsidRDefault="00B93C51" w:rsidP="003E739C">
      <w:pPr>
        <w:spacing w:line="560" w:lineRule="exact"/>
        <w:ind w:firstLineChars="200" w:firstLine="643"/>
        <w:rPr>
          <w:b/>
          <w:bCs/>
        </w:rPr>
      </w:pPr>
      <w:r>
        <w:rPr>
          <w:rFonts w:hint="eastAsia"/>
          <w:b/>
          <w:bCs/>
        </w:rPr>
        <w:t>三、指导学位论文</w:t>
      </w:r>
    </w:p>
    <w:p w:rsidR="00B93C51" w:rsidRDefault="00B93C51" w:rsidP="003E739C">
      <w:pPr>
        <w:spacing w:line="560" w:lineRule="exact"/>
        <w:ind w:firstLineChars="200" w:firstLine="643"/>
        <w:rPr>
          <w:b/>
          <w:bCs/>
        </w:rPr>
      </w:pPr>
    </w:p>
    <w:tbl>
      <w:tblPr>
        <w:tblW w:w="59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614"/>
        <w:gridCol w:w="2349"/>
      </w:tblGrid>
      <w:tr w:rsidR="00B93C51" w:rsidTr="003C60F5">
        <w:trPr>
          <w:trHeight w:val="567"/>
          <w:jc w:val="center"/>
        </w:trPr>
        <w:tc>
          <w:tcPr>
            <w:tcW w:w="3614"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类别</w:t>
            </w:r>
          </w:p>
        </w:tc>
        <w:tc>
          <w:tcPr>
            <w:tcW w:w="2349"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工作量（分）</w:t>
            </w:r>
          </w:p>
        </w:tc>
      </w:tr>
      <w:tr w:rsidR="00B93C51" w:rsidTr="003C60F5">
        <w:trPr>
          <w:trHeight w:val="567"/>
          <w:jc w:val="center"/>
        </w:trPr>
        <w:tc>
          <w:tcPr>
            <w:tcW w:w="3614"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博士论文</w:t>
            </w:r>
          </w:p>
        </w:tc>
        <w:tc>
          <w:tcPr>
            <w:tcW w:w="2349"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cs="宋体"/>
                <w:sz w:val="28"/>
                <w:szCs w:val="28"/>
              </w:rPr>
              <w:t>700/</w:t>
            </w:r>
            <w:r>
              <w:rPr>
                <w:rFonts w:ascii="宋体" w:hAnsi="宋体" w:hint="eastAsia"/>
                <w:sz w:val="28"/>
                <w:szCs w:val="28"/>
              </w:rPr>
              <w:t>篇</w:t>
            </w:r>
          </w:p>
        </w:tc>
      </w:tr>
      <w:tr w:rsidR="00B93C51" w:rsidTr="003C60F5">
        <w:trPr>
          <w:trHeight w:val="567"/>
          <w:jc w:val="center"/>
        </w:trPr>
        <w:tc>
          <w:tcPr>
            <w:tcW w:w="3614"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hint="eastAsia"/>
                <w:sz w:val="28"/>
                <w:szCs w:val="28"/>
              </w:rPr>
              <w:t>硕士论文</w:t>
            </w:r>
          </w:p>
        </w:tc>
        <w:tc>
          <w:tcPr>
            <w:tcW w:w="2349" w:type="dxa"/>
            <w:vAlign w:val="center"/>
          </w:tcPr>
          <w:p w:rsidR="00B93C51" w:rsidRDefault="00B93C51" w:rsidP="003C60F5">
            <w:pPr>
              <w:adjustRightInd w:val="0"/>
              <w:spacing w:line="400" w:lineRule="exact"/>
              <w:jc w:val="center"/>
              <w:rPr>
                <w:rFonts w:ascii="宋体" w:eastAsia="宋体"/>
                <w:sz w:val="28"/>
                <w:szCs w:val="28"/>
              </w:rPr>
            </w:pPr>
            <w:r>
              <w:rPr>
                <w:rFonts w:ascii="宋体" w:hAnsi="宋体" w:cs="宋体"/>
                <w:sz w:val="28"/>
                <w:szCs w:val="28"/>
              </w:rPr>
              <w:t>350/</w:t>
            </w:r>
            <w:r>
              <w:rPr>
                <w:rFonts w:ascii="宋体" w:hAnsi="宋体" w:hint="eastAsia"/>
                <w:sz w:val="28"/>
                <w:szCs w:val="28"/>
              </w:rPr>
              <w:t>篇</w:t>
            </w:r>
          </w:p>
        </w:tc>
      </w:tr>
    </w:tbl>
    <w:p w:rsidR="00B93C51" w:rsidRDefault="00B93C51" w:rsidP="003E739C">
      <w:pPr>
        <w:spacing w:line="560" w:lineRule="exact"/>
        <w:ind w:firstLineChars="200" w:firstLine="643"/>
        <w:rPr>
          <w:b/>
          <w:bCs/>
        </w:rPr>
      </w:pPr>
    </w:p>
    <w:p w:rsidR="00B93C51" w:rsidRDefault="00B93C51" w:rsidP="003E739C">
      <w:pPr>
        <w:spacing w:line="560" w:lineRule="exact"/>
        <w:ind w:firstLineChars="200" w:firstLine="643"/>
        <w:rPr>
          <w:b/>
          <w:bCs/>
        </w:rPr>
      </w:pPr>
      <w:r>
        <w:rPr>
          <w:rFonts w:hint="eastAsia"/>
          <w:b/>
          <w:bCs/>
        </w:rPr>
        <w:t>四、学术讲座</w:t>
      </w:r>
    </w:p>
    <w:p w:rsidR="00B93C51" w:rsidRDefault="00B93C51" w:rsidP="003E739C">
      <w:pPr>
        <w:spacing w:line="560" w:lineRule="exact"/>
        <w:ind w:firstLineChars="200" w:firstLine="640"/>
      </w:pPr>
      <w:r>
        <w:rPr>
          <w:rFonts w:hint="eastAsia"/>
        </w:rPr>
        <w:t>研究生指导教师开设的公开学术讲座（经研究生学院核准；不包括培养方案规定的专题讲座），其工作量计算办法为：一次讲座满</w:t>
      </w:r>
      <w:r>
        <w:t>2</w:t>
      </w:r>
      <w:r>
        <w:rPr>
          <w:rFonts w:hint="eastAsia"/>
        </w:rPr>
        <w:t>学时的计</w:t>
      </w:r>
      <w:r>
        <w:t>40</w:t>
      </w:r>
      <w:r>
        <w:rPr>
          <w:rFonts w:hint="eastAsia"/>
        </w:rPr>
        <w:t>个标准工作量，满</w:t>
      </w:r>
      <w:r>
        <w:t>1</w:t>
      </w:r>
      <w:r>
        <w:rPr>
          <w:rFonts w:hint="eastAsia"/>
        </w:rPr>
        <w:t>学时的计</w:t>
      </w:r>
      <w:r>
        <w:t>20</w:t>
      </w:r>
      <w:r>
        <w:rPr>
          <w:rFonts w:hint="eastAsia"/>
        </w:rPr>
        <w:t>个标准工作量。</w:t>
      </w:r>
    </w:p>
    <w:p w:rsidR="00B93C51" w:rsidRDefault="00B93C51" w:rsidP="003E739C">
      <w:pPr>
        <w:spacing w:line="560" w:lineRule="exact"/>
        <w:ind w:firstLineChars="200" w:firstLine="643"/>
        <w:rPr>
          <w:b/>
          <w:bCs/>
        </w:rPr>
      </w:pPr>
      <w:r>
        <w:rPr>
          <w:rFonts w:hint="eastAsia"/>
          <w:b/>
          <w:bCs/>
        </w:rPr>
        <w:t>五、指导研究生专业实践、科研创新项目和各类技能比赛</w:t>
      </w:r>
    </w:p>
    <w:p w:rsidR="00B93C51" w:rsidRDefault="00B93C51" w:rsidP="003E739C">
      <w:pPr>
        <w:spacing w:line="560" w:lineRule="exact"/>
        <w:ind w:firstLineChars="200" w:firstLine="643"/>
        <w:rPr>
          <w:b/>
          <w:bCs/>
        </w:rPr>
      </w:pPr>
    </w:p>
    <w:tbl>
      <w:tblPr>
        <w:tblW w:w="65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18"/>
        <w:gridCol w:w="2633"/>
        <w:gridCol w:w="1701"/>
      </w:tblGrid>
      <w:tr w:rsidR="00B93C51" w:rsidTr="003C60F5">
        <w:trPr>
          <w:trHeight w:val="567"/>
          <w:jc w:val="center"/>
        </w:trPr>
        <w:tc>
          <w:tcPr>
            <w:tcW w:w="4851" w:type="dxa"/>
            <w:gridSpan w:val="2"/>
            <w:vAlign w:val="center"/>
          </w:tcPr>
          <w:p w:rsidR="00B93C51" w:rsidRDefault="00B93C51" w:rsidP="003C60F5">
            <w:pPr>
              <w:spacing w:line="440" w:lineRule="exact"/>
              <w:jc w:val="center"/>
              <w:rPr>
                <w:rFonts w:ascii="宋体" w:eastAsia="宋体"/>
                <w:sz w:val="28"/>
                <w:szCs w:val="28"/>
              </w:rPr>
            </w:pPr>
            <w:r>
              <w:rPr>
                <w:rFonts w:ascii="宋体" w:hAnsi="宋体" w:hint="eastAsia"/>
                <w:sz w:val="28"/>
                <w:szCs w:val="28"/>
              </w:rPr>
              <w:t>类别</w:t>
            </w:r>
          </w:p>
        </w:tc>
        <w:tc>
          <w:tcPr>
            <w:tcW w:w="1701" w:type="dxa"/>
            <w:vAlign w:val="center"/>
          </w:tcPr>
          <w:p w:rsidR="00B93C51" w:rsidRDefault="00B93C51" w:rsidP="003C60F5">
            <w:pPr>
              <w:spacing w:line="440" w:lineRule="exact"/>
              <w:jc w:val="center"/>
              <w:rPr>
                <w:rFonts w:ascii="宋体" w:eastAsia="宋体"/>
                <w:sz w:val="28"/>
                <w:szCs w:val="28"/>
              </w:rPr>
            </w:pPr>
            <w:r>
              <w:rPr>
                <w:rFonts w:ascii="宋体" w:hAnsi="宋体" w:hint="eastAsia"/>
                <w:sz w:val="28"/>
                <w:szCs w:val="28"/>
              </w:rPr>
              <w:t>工作量（分）</w:t>
            </w:r>
          </w:p>
        </w:tc>
      </w:tr>
      <w:tr w:rsidR="00B93C51" w:rsidTr="003C60F5">
        <w:trPr>
          <w:trHeight w:val="567"/>
          <w:jc w:val="center"/>
        </w:trPr>
        <w:tc>
          <w:tcPr>
            <w:tcW w:w="4851" w:type="dxa"/>
            <w:gridSpan w:val="2"/>
          </w:tcPr>
          <w:p w:rsidR="00B93C51" w:rsidRDefault="00B93C51" w:rsidP="003C60F5">
            <w:pPr>
              <w:spacing w:line="440" w:lineRule="exact"/>
              <w:rPr>
                <w:rFonts w:ascii="宋体" w:eastAsia="宋体"/>
                <w:sz w:val="28"/>
                <w:szCs w:val="28"/>
              </w:rPr>
            </w:pPr>
            <w:r>
              <w:rPr>
                <w:rFonts w:ascii="宋体" w:hAnsi="宋体" w:hint="eastAsia"/>
                <w:sz w:val="28"/>
                <w:szCs w:val="28"/>
              </w:rPr>
              <w:t>指导学术型研究生教学实践</w:t>
            </w:r>
          </w:p>
        </w:tc>
        <w:tc>
          <w:tcPr>
            <w:tcW w:w="1701" w:type="dxa"/>
            <w:vAlign w:val="center"/>
          </w:tcPr>
          <w:p w:rsidR="00B93C51" w:rsidRDefault="00B93C51" w:rsidP="003C60F5">
            <w:pPr>
              <w:spacing w:line="440" w:lineRule="exact"/>
              <w:jc w:val="center"/>
              <w:rPr>
                <w:rFonts w:ascii="宋体" w:eastAsia="宋体"/>
                <w:sz w:val="28"/>
                <w:szCs w:val="28"/>
              </w:rPr>
            </w:pPr>
            <w:r>
              <w:rPr>
                <w:rFonts w:ascii="宋体" w:hAnsi="宋体" w:cs="宋体"/>
                <w:sz w:val="28"/>
                <w:szCs w:val="28"/>
              </w:rPr>
              <w:t>6/</w:t>
            </w:r>
            <w:r>
              <w:rPr>
                <w:rFonts w:ascii="宋体" w:hAnsi="宋体" w:hint="eastAsia"/>
                <w:sz w:val="28"/>
                <w:szCs w:val="28"/>
              </w:rPr>
              <w:t>生</w:t>
            </w:r>
          </w:p>
        </w:tc>
      </w:tr>
      <w:tr w:rsidR="00B93C51" w:rsidTr="003C60F5">
        <w:trPr>
          <w:trHeight w:val="567"/>
          <w:jc w:val="center"/>
        </w:trPr>
        <w:tc>
          <w:tcPr>
            <w:tcW w:w="4851" w:type="dxa"/>
            <w:gridSpan w:val="2"/>
          </w:tcPr>
          <w:p w:rsidR="00B93C51" w:rsidRDefault="00B93C51" w:rsidP="003C60F5">
            <w:pPr>
              <w:spacing w:line="440" w:lineRule="exact"/>
              <w:rPr>
                <w:rFonts w:ascii="宋体" w:eastAsia="宋体"/>
                <w:sz w:val="28"/>
                <w:szCs w:val="28"/>
              </w:rPr>
            </w:pPr>
            <w:r>
              <w:rPr>
                <w:rFonts w:ascii="宋体" w:hAnsi="宋体" w:hint="eastAsia"/>
                <w:sz w:val="28"/>
                <w:szCs w:val="28"/>
              </w:rPr>
              <w:t>指导专业学位研究生校内实践</w:t>
            </w:r>
          </w:p>
        </w:tc>
        <w:tc>
          <w:tcPr>
            <w:tcW w:w="1701" w:type="dxa"/>
            <w:vAlign w:val="center"/>
          </w:tcPr>
          <w:p w:rsidR="00B93C51" w:rsidRDefault="00B93C51" w:rsidP="003C60F5">
            <w:pPr>
              <w:spacing w:line="440" w:lineRule="exact"/>
              <w:jc w:val="center"/>
              <w:rPr>
                <w:rFonts w:ascii="宋体" w:eastAsia="宋体"/>
                <w:sz w:val="28"/>
                <w:szCs w:val="28"/>
              </w:rPr>
            </w:pPr>
            <w:r>
              <w:rPr>
                <w:rFonts w:ascii="宋体" w:hAnsi="宋体" w:cs="宋体"/>
                <w:sz w:val="28"/>
                <w:szCs w:val="28"/>
              </w:rPr>
              <w:t>12/</w:t>
            </w:r>
            <w:r>
              <w:rPr>
                <w:rFonts w:ascii="宋体" w:hAnsi="宋体" w:hint="eastAsia"/>
                <w:sz w:val="28"/>
                <w:szCs w:val="28"/>
              </w:rPr>
              <w:t>生</w:t>
            </w:r>
          </w:p>
        </w:tc>
      </w:tr>
      <w:tr w:rsidR="00B93C51" w:rsidTr="003C60F5">
        <w:trPr>
          <w:trHeight w:val="567"/>
          <w:jc w:val="center"/>
        </w:trPr>
        <w:tc>
          <w:tcPr>
            <w:tcW w:w="2218" w:type="dxa"/>
            <w:vMerge w:val="restart"/>
            <w:vAlign w:val="center"/>
          </w:tcPr>
          <w:p w:rsidR="00B93C51" w:rsidRDefault="00B93C51" w:rsidP="003C60F5">
            <w:pPr>
              <w:spacing w:line="440" w:lineRule="exact"/>
              <w:rPr>
                <w:rFonts w:ascii="宋体" w:eastAsia="宋体"/>
                <w:sz w:val="28"/>
                <w:szCs w:val="28"/>
              </w:rPr>
            </w:pPr>
            <w:r>
              <w:rPr>
                <w:rFonts w:ascii="宋体" w:hAnsi="宋体" w:hint="eastAsia"/>
                <w:sz w:val="28"/>
                <w:szCs w:val="28"/>
              </w:rPr>
              <w:t>指导专业学位研究生校外实践</w:t>
            </w:r>
          </w:p>
        </w:tc>
        <w:tc>
          <w:tcPr>
            <w:tcW w:w="2633" w:type="dxa"/>
          </w:tcPr>
          <w:p w:rsidR="00B93C51" w:rsidRDefault="00B93C51" w:rsidP="003C60F5">
            <w:pPr>
              <w:spacing w:line="440" w:lineRule="exact"/>
              <w:rPr>
                <w:rFonts w:ascii="宋体" w:eastAsia="宋体"/>
                <w:sz w:val="28"/>
                <w:szCs w:val="28"/>
              </w:rPr>
            </w:pPr>
            <w:r>
              <w:rPr>
                <w:rFonts w:ascii="宋体" w:hAnsi="宋体" w:hint="eastAsia"/>
                <w:sz w:val="28"/>
                <w:szCs w:val="28"/>
              </w:rPr>
              <w:t>本校实践指导教师</w:t>
            </w:r>
          </w:p>
        </w:tc>
        <w:tc>
          <w:tcPr>
            <w:tcW w:w="1701" w:type="dxa"/>
          </w:tcPr>
          <w:p w:rsidR="00B93C51" w:rsidRDefault="00B93C51" w:rsidP="003C60F5">
            <w:pPr>
              <w:spacing w:line="440" w:lineRule="exact"/>
              <w:jc w:val="center"/>
              <w:rPr>
                <w:rFonts w:ascii="宋体" w:eastAsia="宋体"/>
                <w:sz w:val="28"/>
                <w:szCs w:val="28"/>
              </w:rPr>
            </w:pPr>
            <w:r>
              <w:rPr>
                <w:rFonts w:ascii="宋体" w:hAnsi="宋体" w:cs="宋体"/>
                <w:sz w:val="28"/>
                <w:szCs w:val="28"/>
              </w:rPr>
              <w:t>70/</w:t>
            </w:r>
            <w:r>
              <w:rPr>
                <w:rFonts w:ascii="宋体" w:hAnsi="宋体" w:hint="eastAsia"/>
                <w:sz w:val="28"/>
                <w:szCs w:val="28"/>
              </w:rPr>
              <w:t>学期</w:t>
            </w:r>
          </w:p>
        </w:tc>
      </w:tr>
      <w:tr w:rsidR="00B93C51" w:rsidTr="003C60F5">
        <w:trPr>
          <w:trHeight w:val="567"/>
          <w:jc w:val="center"/>
        </w:trPr>
        <w:tc>
          <w:tcPr>
            <w:tcW w:w="0" w:type="auto"/>
            <w:vMerge/>
            <w:vAlign w:val="center"/>
          </w:tcPr>
          <w:p w:rsidR="00B93C51" w:rsidRDefault="00B93C51" w:rsidP="003C60F5">
            <w:pPr>
              <w:widowControl/>
              <w:jc w:val="left"/>
              <w:rPr>
                <w:rFonts w:ascii="宋体" w:eastAsia="宋体"/>
                <w:sz w:val="28"/>
                <w:szCs w:val="28"/>
              </w:rPr>
            </w:pPr>
          </w:p>
        </w:tc>
        <w:tc>
          <w:tcPr>
            <w:tcW w:w="2633" w:type="dxa"/>
          </w:tcPr>
          <w:p w:rsidR="00B93C51" w:rsidRDefault="00B93C51" w:rsidP="003C60F5">
            <w:pPr>
              <w:spacing w:line="440" w:lineRule="exact"/>
              <w:rPr>
                <w:rFonts w:ascii="宋体" w:eastAsia="宋体"/>
                <w:sz w:val="28"/>
                <w:szCs w:val="28"/>
              </w:rPr>
            </w:pPr>
            <w:r>
              <w:rPr>
                <w:rFonts w:ascii="宋体" w:hAnsi="宋体" w:hint="eastAsia"/>
                <w:sz w:val="28"/>
                <w:szCs w:val="28"/>
              </w:rPr>
              <w:t>校外指导教师</w:t>
            </w:r>
          </w:p>
        </w:tc>
        <w:tc>
          <w:tcPr>
            <w:tcW w:w="1701" w:type="dxa"/>
          </w:tcPr>
          <w:p w:rsidR="00B93C51" w:rsidRDefault="00B93C51" w:rsidP="003C60F5">
            <w:pPr>
              <w:spacing w:line="440" w:lineRule="exact"/>
              <w:jc w:val="center"/>
              <w:rPr>
                <w:rFonts w:ascii="宋体" w:eastAsia="宋体"/>
                <w:sz w:val="28"/>
                <w:szCs w:val="28"/>
              </w:rPr>
            </w:pPr>
            <w:r>
              <w:rPr>
                <w:rFonts w:ascii="宋体" w:hAnsi="宋体" w:cs="宋体"/>
                <w:sz w:val="28"/>
                <w:szCs w:val="28"/>
              </w:rPr>
              <w:t>72/</w:t>
            </w:r>
            <w:r>
              <w:rPr>
                <w:rFonts w:ascii="宋体" w:hAnsi="宋体" w:hint="eastAsia"/>
                <w:sz w:val="28"/>
                <w:szCs w:val="28"/>
              </w:rPr>
              <w:t>学期</w:t>
            </w:r>
          </w:p>
        </w:tc>
      </w:tr>
      <w:tr w:rsidR="00B93C51" w:rsidTr="003C60F5">
        <w:trPr>
          <w:trHeight w:val="567"/>
          <w:jc w:val="center"/>
        </w:trPr>
        <w:tc>
          <w:tcPr>
            <w:tcW w:w="4851" w:type="dxa"/>
            <w:gridSpan w:val="2"/>
          </w:tcPr>
          <w:p w:rsidR="00B93C51" w:rsidRDefault="00B93C51" w:rsidP="003C60F5">
            <w:pPr>
              <w:spacing w:line="440" w:lineRule="exact"/>
              <w:rPr>
                <w:rFonts w:ascii="宋体" w:eastAsia="宋体"/>
                <w:sz w:val="28"/>
                <w:szCs w:val="28"/>
              </w:rPr>
            </w:pPr>
            <w:r>
              <w:rPr>
                <w:rFonts w:ascii="宋体" w:hAnsi="宋体" w:hint="eastAsia"/>
                <w:sz w:val="28"/>
                <w:szCs w:val="28"/>
              </w:rPr>
              <w:t>指导研究生科研创新项目</w:t>
            </w:r>
          </w:p>
        </w:tc>
        <w:tc>
          <w:tcPr>
            <w:tcW w:w="1701" w:type="dxa"/>
            <w:vAlign w:val="center"/>
          </w:tcPr>
          <w:p w:rsidR="00B93C51" w:rsidRDefault="00B93C51" w:rsidP="003C60F5">
            <w:pPr>
              <w:spacing w:line="440" w:lineRule="exact"/>
              <w:jc w:val="center"/>
              <w:rPr>
                <w:rFonts w:ascii="宋体" w:eastAsia="宋体"/>
                <w:sz w:val="28"/>
                <w:szCs w:val="28"/>
              </w:rPr>
            </w:pPr>
            <w:r>
              <w:rPr>
                <w:rFonts w:ascii="宋体" w:hAnsi="宋体" w:cs="宋体"/>
                <w:sz w:val="28"/>
                <w:szCs w:val="28"/>
              </w:rPr>
              <w:t>100/</w:t>
            </w:r>
            <w:r>
              <w:rPr>
                <w:rFonts w:ascii="宋体" w:hAnsi="宋体" w:hint="eastAsia"/>
                <w:sz w:val="28"/>
                <w:szCs w:val="28"/>
              </w:rPr>
              <w:t>项</w:t>
            </w:r>
          </w:p>
        </w:tc>
      </w:tr>
      <w:tr w:rsidR="00B93C51" w:rsidTr="003C60F5">
        <w:trPr>
          <w:trHeight w:val="567"/>
          <w:jc w:val="center"/>
        </w:trPr>
        <w:tc>
          <w:tcPr>
            <w:tcW w:w="4851" w:type="dxa"/>
            <w:gridSpan w:val="2"/>
          </w:tcPr>
          <w:p w:rsidR="00B93C51" w:rsidRDefault="00B93C51" w:rsidP="003C60F5">
            <w:pPr>
              <w:spacing w:line="440" w:lineRule="exact"/>
              <w:rPr>
                <w:rFonts w:ascii="宋体" w:eastAsia="宋体"/>
                <w:sz w:val="28"/>
                <w:szCs w:val="28"/>
              </w:rPr>
            </w:pPr>
            <w:r>
              <w:rPr>
                <w:rFonts w:ascii="宋体" w:hAnsi="宋体" w:hint="eastAsia"/>
                <w:sz w:val="28"/>
                <w:szCs w:val="28"/>
              </w:rPr>
              <w:t>指导省级以上各类技能比赛</w:t>
            </w:r>
          </w:p>
        </w:tc>
        <w:tc>
          <w:tcPr>
            <w:tcW w:w="1701" w:type="dxa"/>
            <w:vAlign w:val="center"/>
          </w:tcPr>
          <w:p w:rsidR="00B93C51" w:rsidRDefault="00B93C51" w:rsidP="003C60F5">
            <w:pPr>
              <w:spacing w:line="440" w:lineRule="exact"/>
              <w:jc w:val="center"/>
              <w:rPr>
                <w:rFonts w:ascii="宋体" w:eastAsia="宋体"/>
                <w:sz w:val="28"/>
                <w:szCs w:val="28"/>
              </w:rPr>
            </w:pPr>
            <w:r>
              <w:rPr>
                <w:rFonts w:ascii="宋体" w:hAnsi="宋体" w:cs="宋体"/>
                <w:sz w:val="28"/>
                <w:szCs w:val="28"/>
              </w:rPr>
              <w:t>150/</w:t>
            </w:r>
            <w:r>
              <w:rPr>
                <w:rFonts w:ascii="宋体" w:hAnsi="宋体" w:hint="eastAsia"/>
                <w:sz w:val="28"/>
                <w:szCs w:val="28"/>
              </w:rPr>
              <w:t>生</w:t>
            </w:r>
          </w:p>
        </w:tc>
      </w:tr>
    </w:tbl>
    <w:p w:rsidR="00B93C51" w:rsidRDefault="00B93C51" w:rsidP="003E739C">
      <w:pPr>
        <w:spacing w:line="560" w:lineRule="exact"/>
        <w:ind w:firstLineChars="200" w:firstLine="643"/>
        <w:rPr>
          <w:b/>
          <w:bCs/>
        </w:rPr>
      </w:pPr>
    </w:p>
    <w:p w:rsidR="00B93C51" w:rsidRDefault="00B93C51" w:rsidP="003E739C">
      <w:pPr>
        <w:spacing w:line="560" w:lineRule="exact"/>
        <w:ind w:firstLineChars="200" w:firstLine="643"/>
        <w:rPr>
          <w:b/>
          <w:bCs/>
        </w:rPr>
      </w:pPr>
      <w:r>
        <w:rPr>
          <w:rFonts w:hint="eastAsia"/>
          <w:b/>
          <w:bCs/>
        </w:rPr>
        <w:t>六、研究生教学平台或科研团队工作量</w:t>
      </w:r>
    </w:p>
    <w:p w:rsidR="00B93C51" w:rsidRDefault="00B93C51" w:rsidP="003E739C">
      <w:pPr>
        <w:spacing w:line="560" w:lineRule="exact"/>
        <w:ind w:firstLineChars="200" w:firstLine="643"/>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867"/>
        <w:gridCol w:w="1723"/>
      </w:tblGrid>
      <w:tr w:rsidR="00B93C51" w:rsidTr="003C60F5">
        <w:trPr>
          <w:cantSplit/>
          <w:trHeight w:val="567"/>
          <w:jc w:val="center"/>
        </w:trPr>
        <w:tc>
          <w:tcPr>
            <w:tcW w:w="4867" w:type="dxa"/>
            <w:vAlign w:val="center"/>
          </w:tcPr>
          <w:p w:rsidR="00B93C51" w:rsidRDefault="00B93C51" w:rsidP="003C60F5">
            <w:pPr>
              <w:spacing w:line="440" w:lineRule="exact"/>
              <w:jc w:val="center"/>
              <w:rPr>
                <w:rFonts w:ascii="宋体" w:eastAsia="宋体"/>
                <w:sz w:val="28"/>
                <w:szCs w:val="28"/>
              </w:rPr>
            </w:pPr>
            <w:r>
              <w:rPr>
                <w:rFonts w:ascii="宋体" w:hAnsi="宋体" w:hint="eastAsia"/>
                <w:sz w:val="28"/>
                <w:szCs w:val="28"/>
              </w:rPr>
              <w:t>类别</w:t>
            </w:r>
          </w:p>
        </w:tc>
        <w:tc>
          <w:tcPr>
            <w:tcW w:w="1723" w:type="dxa"/>
            <w:vAlign w:val="center"/>
          </w:tcPr>
          <w:p w:rsidR="00B93C51" w:rsidRDefault="00B93C51" w:rsidP="003C60F5">
            <w:pPr>
              <w:spacing w:line="440" w:lineRule="exact"/>
              <w:jc w:val="center"/>
              <w:rPr>
                <w:rFonts w:ascii="宋体" w:eastAsia="宋体"/>
                <w:sz w:val="28"/>
                <w:szCs w:val="28"/>
              </w:rPr>
            </w:pPr>
            <w:r>
              <w:rPr>
                <w:rFonts w:ascii="宋体" w:hAnsi="宋体" w:hint="eastAsia"/>
                <w:sz w:val="28"/>
                <w:szCs w:val="28"/>
              </w:rPr>
              <w:t>工作量（分）</w:t>
            </w:r>
          </w:p>
        </w:tc>
      </w:tr>
      <w:tr w:rsidR="00B93C51" w:rsidTr="003C60F5">
        <w:trPr>
          <w:cantSplit/>
          <w:trHeight w:val="567"/>
          <w:jc w:val="center"/>
        </w:trPr>
        <w:tc>
          <w:tcPr>
            <w:tcW w:w="4867" w:type="dxa"/>
            <w:vAlign w:val="center"/>
          </w:tcPr>
          <w:p w:rsidR="00B93C51" w:rsidRDefault="00B93C51" w:rsidP="003C60F5">
            <w:pPr>
              <w:spacing w:line="440" w:lineRule="exact"/>
              <w:jc w:val="left"/>
              <w:rPr>
                <w:rFonts w:ascii="宋体" w:eastAsia="宋体"/>
                <w:kern w:val="0"/>
                <w:sz w:val="28"/>
                <w:szCs w:val="28"/>
              </w:rPr>
            </w:pPr>
            <w:r>
              <w:rPr>
                <w:rFonts w:ascii="宋体" w:hAnsi="宋体" w:hint="eastAsia"/>
                <w:kern w:val="0"/>
                <w:sz w:val="28"/>
                <w:szCs w:val="28"/>
              </w:rPr>
              <w:t>省级研究生教育综合改革试点</w:t>
            </w:r>
          </w:p>
        </w:tc>
        <w:tc>
          <w:tcPr>
            <w:tcW w:w="1723" w:type="dxa"/>
            <w:vAlign w:val="center"/>
          </w:tcPr>
          <w:p w:rsidR="00B93C51" w:rsidRDefault="00B93C51" w:rsidP="003C60F5">
            <w:pPr>
              <w:spacing w:line="440" w:lineRule="exact"/>
              <w:jc w:val="center"/>
              <w:rPr>
                <w:rFonts w:ascii="宋体" w:eastAsia="宋体"/>
                <w:color w:val="000000"/>
                <w:kern w:val="0"/>
                <w:sz w:val="28"/>
                <w:szCs w:val="28"/>
              </w:rPr>
            </w:pPr>
            <w:r>
              <w:rPr>
                <w:rFonts w:ascii="宋体" w:hAnsi="宋体" w:cs="宋体"/>
                <w:color w:val="000000"/>
                <w:kern w:val="0"/>
                <w:sz w:val="28"/>
                <w:szCs w:val="28"/>
              </w:rPr>
              <w:t>1500</w:t>
            </w:r>
          </w:p>
        </w:tc>
      </w:tr>
      <w:tr w:rsidR="00B93C51" w:rsidTr="003C60F5">
        <w:trPr>
          <w:cantSplit/>
          <w:trHeight w:val="567"/>
          <w:jc w:val="center"/>
        </w:trPr>
        <w:tc>
          <w:tcPr>
            <w:tcW w:w="4867" w:type="dxa"/>
            <w:vAlign w:val="center"/>
          </w:tcPr>
          <w:p w:rsidR="00B93C51" w:rsidRDefault="00B93C51" w:rsidP="003C60F5">
            <w:pPr>
              <w:spacing w:line="440" w:lineRule="exact"/>
              <w:jc w:val="left"/>
              <w:rPr>
                <w:rFonts w:ascii="宋体" w:eastAsia="宋体"/>
                <w:kern w:val="0"/>
                <w:sz w:val="28"/>
                <w:szCs w:val="28"/>
              </w:rPr>
            </w:pPr>
            <w:r>
              <w:rPr>
                <w:rFonts w:ascii="宋体" w:hAnsi="宋体" w:hint="eastAsia"/>
                <w:kern w:val="0"/>
                <w:sz w:val="28"/>
                <w:szCs w:val="28"/>
              </w:rPr>
              <w:t>省级特色品牌硕士学位授权点</w:t>
            </w:r>
          </w:p>
        </w:tc>
        <w:tc>
          <w:tcPr>
            <w:tcW w:w="1723" w:type="dxa"/>
            <w:vAlign w:val="center"/>
          </w:tcPr>
          <w:p w:rsidR="00B93C51" w:rsidRDefault="00B93C51" w:rsidP="003C60F5">
            <w:pPr>
              <w:spacing w:line="440" w:lineRule="exact"/>
              <w:jc w:val="center"/>
              <w:rPr>
                <w:rFonts w:ascii="宋体" w:eastAsia="宋体"/>
                <w:color w:val="000000"/>
                <w:kern w:val="0"/>
                <w:sz w:val="28"/>
                <w:szCs w:val="28"/>
              </w:rPr>
            </w:pPr>
            <w:r>
              <w:rPr>
                <w:rFonts w:ascii="宋体" w:hAnsi="宋体" w:cs="宋体"/>
                <w:color w:val="000000"/>
                <w:kern w:val="0"/>
                <w:sz w:val="28"/>
                <w:szCs w:val="28"/>
              </w:rPr>
              <w:t>1500</w:t>
            </w:r>
          </w:p>
        </w:tc>
      </w:tr>
      <w:tr w:rsidR="00B93C51" w:rsidTr="003C60F5">
        <w:trPr>
          <w:cantSplit/>
          <w:trHeight w:val="567"/>
          <w:jc w:val="center"/>
        </w:trPr>
        <w:tc>
          <w:tcPr>
            <w:tcW w:w="4867" w:type="dxa"/>
            <w:vAlign w:val="center"/>
          </w:tcPr>
          <w:p w:rsidR="00B93C51" w:rsidRDefault="00B93C51" w:rsidP="003C60F5">
            <w:pPr>
              <w:spacing w:line="440" w:lineRule="exact"/>
              <w:jc w:val="left"/>
              <w:rPr>
                <w:rFonts w:ascii="宋体" w:eastAsia="宋体"/>
                <w:kern w:val="0"/>
                <w:sz w:val="28"/>
                <w:szCs w:val="28"/>
              </w:rPr>
            </w:pPr>
            <w:r>
              <w:rPr>
                <w:rFonts w:ascii="宋体" w:hAnsi="宋体" w:hint="eastAsia"/>
                <w:kern w:val="0"/>
                <w:sz w:val="28"/>
                <w:szCs w:val="28"/>
              </w:rPr>
              <w:t>省级研究生教育创新培养基地</w:t>
            </w:r>
          </w:p>
        </w:tc>
        <w:tc>
          <w:tcPr>
            <w:tcW w:w="1723" w:type="dxa"/>
            <w:vAlign w:val="center"/>
          </w:tcPr>
          <w:p w:rsidR="00B93C51" w:rsidRDefault="00B93C51" w:rsidP="003C60F5">
            <w:pPr>
              <w:spacing w:line="440" w:lineRule="exact"/>
              <w:jc w:val="center"/>
              <w:rPr>
                <w:rFonts w:ascii="宋体" w:eastAsia="宋体"/>
                <w:color w:val="000000"/>
                <w:kern w:val="0"/>
                <w:sz w:val="28"/>
                <w:szCs w:val="28"/>
              </w:rPr>
            </w:pPr>
            <w:r>
              <w:rPr>
                <w:rFonts w:ascii="宋体" w:hAnsi="宋体" w:cs="宋体"/>
                <w:color w:val="000000"/>
                <w:kern w:val="0"/>
                <w:sz w:val="28"/>
                <w:szCs w:val="28"/>
              </w:rPr>
              <w:t>1000</w:t>
            </w:r>
          </w:p>
        </w:tc>
      </w:tr>
    </w:tbl>
    <w:p w:rsidR="00B93C51" w:rsidRDefault="00B93C51" w:rsidP="003E739C">
      <w:pPr>
        <w:spacing w:line="560" w:lineRule="exact"/>
        <w:ind w:firstLineChars="200" w:firstLine="640"/>
      </w:pPr>
    </w:p>
    <w:p w:rsidR="00B93C51" w:rsidRDefault="00B93C51" w:rsidP="003E739C">
      <w:pPr>
        <w:spacing w:line="560" w:lineRule="exact"/>
        <w:ind w:firstLineChars="200" w:firstLine="640"/>
      </w:pPr>
      <w:r>
        <w:rPr>
          <w:rFonts w:hint="eastAsia"/>
        </w:rPr>
        <w:t>说明：</w:t>
      </w:r>
      <w:r>
        <w:t>1.</w:t>
      </w:r>
      <w:r>
        <w:rPr>
          <w:rFonts w:hint="eastAsia"/>
        </w:rPr>
        <w:t>建设期内，只记发申报获批年度和结项验收年度的管理工作量补贴，对于年度考核“不合格”或未参加考核评估的，不计发管理工作量补贴。</w:t>
      </w:r>
      <w:r>
        <w:t>2.</w:t>
      </w:r>
      <w:r>
        <w:rPr>
          <w:rFonts w:hint="eastAsia"/>
        </w:rPr>
        <w:t>补贴工作量拨入依托单位酬金账户，由平台（专业）负责人对管理团队进行分配。</w:t>
      </w:r>
    </w:p>
    <w:p w:rsidR="00B93C51" w:rsidRPr="003E739C" w:rsidRDefault="00B93C51"/>
    <w:sectPr w:rsidR="00B93C51" w:rsidRPr="003E739C" w:rsidSect="00020D8B">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E739C"/>
    <w:rsid w:val="00020D8B"/>
    <w:rsid w:val="001B7BDB"/>
    <w:rsid w:val="003C60F5"/>
    <w:rsid w:val="003E739C"/>
    <w:rsid w:val="004C3128"/>
    <w:rsid w:val="006774D9"/>
    <w:rsid w:val="00B93C5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739C"/>
    <w:pPr>
      <w:widowControl w:val="0"/>
      <w:jc w:val="both"/>
    </w:pPr>
    <w:rPr>
      <w:rFonts w:ascii="仿宋_GB2312" w:eastAsia="仿宋_GB2312" w:hAnsi="Times New Roman"/>
      <w:sz w:val="32"/>
      <w:szCs w:val="3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Pages>
  <Words>228</Words>
  <Characters>1300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hsd</dc:creator>
  <cp:keywords/>
  <dc:description/>
  <cp:lastModifiedBy>FtpDown</cp:lastModifiedBy>
  <cp:revision>2</cp:revision>
  <dcterms:created xsi:type="dcterms:W3CDTF">2016-03-17T01:21:00Z</dcterms:created>
  <dcterms:modified xsi:type="dcterms:W3CDTF">2016-03-17T09:48:00Z</dcterms:modified>
</cp:coreProperties>
</file>