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500" w:lineRule="exact"/>
        <w:ind w:firstLine="0" w:firstLineChars="0"/>
        <w:jc w:val="center"/>
        <w:rPr>
          <w:rFonts w:ascii="黑体" w:hAnsi="黑体" w:eastAsia="黑体" w:cs="Arial"/>
          <w:b/>
          <w:sz w:val="36"/>
          <w:szCs w:val="36"/>
        </w:rPr>
      </w:pPr>
      <w:r>
        <w:rPr>
          <w:rFonts w:hint="eastAsia" w:ascii="黑体" w:hAnsi="黑体" w:eastAsia="黑体" w:cs="Arial"/>
          <w:b/>
          <w:sz w:val="36"/>
          <w:szCs w:val="36"/>
        </w:rPr>
        <w:t>水产动物营养学科研团队</w:t>
      </w:r>
    </w:p>
    <w:p>
      <w:pPr>
        <w:spacing w:before="0" w:beforeAutospacing="0" w:after="156" w:afterLines="50" w:afterAutospacing="0" w:line="500" w:lineRule="exact"/>
        <w:ind w:firstLine="0" w:firstLineChars="0"/>
        <w:jc w:val="center"/>
        <w:rPr>
          <w:rFonts w:ascii="黑体" w:hAnsi="黑体" w:eastAsia="黑体" w:cs="Arial"/>
          <w:b/>
          <w:sz w:val="32"/>
          <w:szCs w:val="32"/>
        </w:rPr>
      </w:pPr>
      <w:r>
        <w:rPr>
          <w:rFonts w:hint="eastAsia" w:ascii="黑体" w:hAnsi="黑体" w:eastAsia="黑体" w:cs="Arial"/>
          <w:b/>
          <w:sz w:val="32"/>
          <w:szCs w:val="32"/>
        </w:rPr>
        <w:t>2016年下学期及寒假工作总结与读书报告安排</w:t>
      </w:r>
    </w:p>
    <w:tbl>
      <w:tblPr>
        <w:tblStyle w:val="5"/>
        <w:tblW w:w="10446" w:type="dxa"/>
        <w:tblInd w:w="-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8"/>
        <w:gridCol w:w="1444"/>
        <w:gridCol w:w="1310"/>
        <w:gridCol w:w="1215"/>
        <w:gridCol w:w="1134"/>
        <w:gridCol w:w="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440" w:lineRule="exact"/>
              <w:ind w:firstLine="0" w:firstLineChars="0"/>
              <w:contextualSpacing/>
              <w:jc w:val="center"/>
              <w:rPr>
                <w:rFonts w:ascii="黑体" w:hAnsi="黑体" w:eastAsia="黑体" w:cs="Arial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/>
                <w:sz w:val="28"/>
                <w:szCs w:val="28"/>
              </w:rPr>
              <w:t>内容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440" w:lineRule="exact"/>
              <w:ind w:firstLine="0" w:firstLineChars="0"/>
              <w:contextualSpacing/>
              <w:jc w:val="center"/>
              <w:rPr>
                <w:rFonts w:ascii="黑体" w:hAnsi="黑体" w:eastAsia="黑体" w:cs="Arial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/>
                <w:sz w:val="28"/>
                <w:szCs w:val="28"/>
              </w:rPr>
              <w:t>时间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440" w:lineRule="exact"/>
              <w:ind w:firstLine="0" w:firstLineChars="0"/>
              <w:contextualSpacing/>
              <w:jc w:val="center"/>
              <w:rPr>
                <w:rFonts w:ascii="黑体" w:hAnsi="黑体" w:eastAsia="黑体" w:cs="Arial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/>
                <w:sz w:val="28"/>
                <w:szCs w:val="28"/>
              </w:rPr>
              <w:t>完成人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40" w:lineRule="exact"/>
              <w:ind w:firstLine="0" w:firstLineChars="0"/>
              <w:contextualSpacing/>
              <w:jc w:val="center"/>
              <w:rPr>
                <w:rFonts w:ascii="黑体" w:hAnsi="黑体" w:eastAsia="黑体" w:cs="Arial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/>
                <w:sz w:val="28"/>
                <w:szCs w:val="28"/>
              </w:rPr>
              <w:t>召集人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40" w:lineRule="exact"/>
              <w:ind w:firstLine="0" w:firstLineChars="0"/>
              <w:contextualSpacing/>
              <w:jc w:val="center"/>
              <w:rPr>
                <w:rFonts w:ascii="黑体" w:hAnsi="黑体" w:eastAsia="黑体" w:cs="Arial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/>
                <w:sz w:val="28"/>
                <w:szCs w:val="28"/>
              </w:rPr>
              <w:t>地点及要求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27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读书报告</w:t>
            </w:r>
          </w:p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（主题报告）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ascii="Arial" w:hAnsi="Arial" w:eastAsia="楷体_GB2312" w:cs="Arial"/>
                <w:sz w:val="24"/>
                <w:szCs w:val="24"/>
              </w:rPr>
              <w:t>201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6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10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15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黄建蓉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穆广亚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张建新</w:t>
            </w:r>
          </w:p>
        </w:tc>
        <w:tc>
          <w:tcPr>
            <w:tcW w:w="25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beforeAutospacing="0" w:after="0" w:afterAutospacing="0" w:line="260" w:lineRule="exact"/>
              <w:ind w:firstLine="0" w:firstLineChars="0"/>
              <w:rPr>
                <w:rFonts w:ascii="Arial" w:hAnsi="Arial" w:eastAsia="楷体_GB2312" w:cs="Arial"/>
                <w:szCs w:val="21"/>
              </w:rPr>
            </w:pPr>
            <w:r>
              <w:rPr>
                <w:rFonts w:ascii="Arial" w:hAnsi="Arial" w:eastAsia="楷体_GB2312" w:cs="Arial"/>
                <w:szCs w:val="21"/>
              </w:rPr>
              <w:t>1</w:t>
            </w:r>
            <w:r>
              <w:rPr>
                <w:rFonts w:hint="eastAsia" w:ascii="Arial" w:hAnsi="Arial" w:eastAsia="楷体_GB2312" w:cs="Arial"/>
                <w:szCs w:val="21"/>
              </w:rPr>
              <w:t>、地点：水产学院</w:t>
            </w:r>
            <w:r>
              <w:rPr>
                <w:rFonts w:ascii="Arial" w:hAnsi="Arial" w:eastAsia="楷体_GB2312" w:cs="Arial"/>
                <w:szCs w:val="21"/>
              </w:rPr>
              <w:t>202</w:t>
            </w:r>
            <w:r>
              <w:rPr>
                <w:rFonts w:hint="eastAsia" w:ascii="Arial" w:hAnsi="Arial" w:eastAsia="楷体_GB2312" w:cs="Arial"/>
                <w:szCs w:val="21"/>
              </w:rPr>
              <w:t>会议室；</w:t>
            </w:r>
          </w:p>
          <w:p>
            <w:pPr>
              <w:adjustRightInd w:val="0"/>
              <w:snapToGrid w:val="0"/>
              <w:spacing w:before="156" w:beforeLines="50" w:beforeAutospacing="0" w:after="0" w:afterAutospacing="0" w:line="260" w:lineRule="exact"/>
              <w:ind w:firstLine="0" w:firstLineChars="0"/>
              <w:rPr>
                <w:rFonts w:ascii="Arial" w:hAnsi="Arial" w:eastAsia="楷体_GB2312" w:cs="Arial"/>
                <w:szCs w:val="21"/>
              </w:rPr>
            </w:pPr>
            <w:r>
              <w:rPr>
                <w:rFonts w:ascii="Arial" w:hAnsi="Arial" w:eastAsia="楷体_GB2312" w:cs="Arial"/>
                <w:szCs w:val="21"/>
              </w:rPr>
              <w:t>2</w:t>
            </w:r>
            <w:r>
              <w:rPr>
                <w:rFonts w:hint="eastAsia" w:ascii="Arial" w:hAnsi="Arial" w:eastAsia="楷体_GB2312" w:cs="Arial"/>
                <w:szCs w:val="21"/>
              </w:rPr>
              <w:t>、本学期安排10个主题报告，团队每位老师1次。每个报告的时间为</w:t>
            </w:r>
            <w:r>
              <w:rPr>
                <w:rFonts w:ascii="Arial" w:hAnsi="Arial" w:eastAsia="楷体_GB2312" w:cs="Arial"/>
                <w:szCs w:val="21"/>
              </w:rPr>
              <w:t>30</w:t>
            </w:r>
            <w:r>
              <w:rPr>
                <w:rFonts w:hint="eastAsia" w:ascii="Arial" w:hAnsi="Arial" w:eastAsia="楷体_GB2312" w:cs="Arial"/>
                <w:szCs w:val="21"/>
              </w:rPr>
              <w:t>分钟左右。主要围绕本人负责的研究课题，综述本领域的国内外研究进展，介绍本领域研究前沿，提出新的科学问题；</w:t>
            </w:r>
          </w:p>
          <w:p>
            <w:pPr>
              <w:adjustRightInd w:val="0"/>
              <w:snapToGrid w:val="0"/>
              <w:spacing w:before="156" w:beforeLines="50" w:beforeAutospacing="0" w:after="0" w:afterAutospacing="0" w:line="260" w:lineRule="exact"/>
              <w:ind w:firstLine="0" w:firstLineChars="0"/>
              <w:rPr>
                <w:rFonts w:ascii="Arial" w:hAnsi="Arial" w:eastAsia="楷体_GB2312" w:cs="Arial"/>
                <w:szCs w:val="21"/>
              </w:rPr>
            </w:pPr>
            <w:r>
              <w:rPr>
                <w:rFonts w:ascii="Arial" w:hAnsi="Arial" w:eastAsia="楷体_GB2312" w:cs="Arial"/>
                <w:szCs w:val="21"/>
              </w:rPr>
              <w:t>3</w:t>
            </w:r>
            <w:r>
              <w:rPr>
                <w:rFonts w:hint="eastAsia" w:ascii="Arial" w:hAnsi="Arial" w:eastAsia="楷体_GB2312" w:cs="Arial"/>
                <w:szCs w:val="21"/>
              </w:rPr>
              <w:t>、本学期读，研究生每人完成2次读书报告，每个报告的时间为30分钟左右。读书报告一般应围绕研究课题，精读近一年来发表在CNS或Aquaculture等权威期刊上的</w:t>
            </w:r>
            <w:r>
              <w:rPr>
                <w:rFonts w:ascii="Arial" w:hAnsi="Arial" w:eastAsia="楷体_GB2312" w:cs="Arial"/>
                <w:szCs w:val="21"/>
              </w:rPr>
              <w:t>3-5</w:t>
            </w:r>
            <w:r>
              <w:rPr>
                <w:rFonts w:hint="eastAsia" w:ascii="Arial" w:hAnsi="Arial" w:eastAsia="楷体_GB2312" w:cs="Arial"/>
                <w:szCs w:val="21"/>
              </w:rPr>
              <w:t>篇相关论文（研究生所选论文应由指导教师推荐或审核），通过</w:t>
            </w:r>
            <w:r>
              <w:rPr>
                <w:rFonts w:ascii="Arial" w:hAnsi="Arial" w:eastAsia="楷体_GB2312" w:cs="Arial"/>
                <w:szCs w:val="21"/>
              </w:rPr>
              <w:t>PPT</w:t>
            </w:r>
            <w:r>
              <w:rPr>
                <w:rFonts w:hint="eastAsia" w:ascii="Arial" w:hAnsi="Arial" w:eastAsia="楷体_GB2312" w:cs="Arial"/>
                <w:szCs w:val="21"/>
              </w:rPr>
              <w:t>讲解，与大家分享上述研究的核心内容（包括研究思路、方法、结果、结论、创新点等），拓宽大家的研究视野。</w:t>
            </w:r>
            <w:r>
              <w:rPr>
                <w:rFonts w:hint="eastAsia" w:ascii="Arial" w:hAnsi="Arial" w:eastAsia="楷体_GB2312" w:cs="Arial"/>
                <w:b/>
                <w:szCs w:val="21"/>
              </w:rPr>
              <w:t>忌泛泛而谈，重深入浅出</w:t>
            </w:r>
            <w:r>
              <w:rPr>
                <w:rFonts w:hint="eastAsia" w:ascii="Arial" w:hAnsi="Arial" w:eastAsia="楷体_GB2312" w:cs="Arial"/>
                <w:szCs w:val="21"/>
              </w:rPr>
              <w:t>；</w:t>
            </w:r>
          </w:p>
          <w:p>
            <w:pPr>
              <w:adjustRightInd w:val="0"/>
              <w:snapToGrid w:val="0"/>
              <w:spacing w:before="156" w:beforeLines="50" w:beforeAutospacing="0" w:after="0" w:afterAutospacing="0" w:line="260" w:lineRule="exact"/>
              <w:ind w:firstLine="0" w:firstLineChars="0"/>
              <w:rPr>
                <w:rFonts w:ascii="Arial" w:hAnsi="Arial" w:eastAsia="楷体_GB2312" w:cs="Arial"/>
                <w:szCs w:val="21"/>
              </w:rPr>
            </w:pPr>
            <w:r>
              <w:rPr>
                <w:rFonts w:hint="eastAsia" w:ascii="Arial" w:hAnsi="Arial" w:eastAsia="楷体_GB2312" w:cs="Arial"/>
                <w:szCs w:val="21"/>
              </w:rPr>
              <w:t>4、2016级研究生发展计划，主要是2016级11名研究生进行个人职业与发展规划，不拘形式；</w:t>
            </w:r>
          </w:p>
          <w:p>
            <w:pPr>
              <w:adjustRightInd w:val="0"/>
              <w:snapToGrid w:val="0"/>
              <w:spacing w:before="156" w:beforeLines="50" w:beforeAutospacing="0" w:after="0" w:afterAutospacing="0" w:line="260" w:lineRule="exact"/>
              <w:ind w:firstLine="0" w:firstLineChars="0"/>
              <w:rPr>
                <w:rFonts w:ascii="Arial" w:hAnsi="Arial" w:eastAsia="楷体_GB2312" w:cs="Arial"/>
                <w:szCs w:val="21"/>
              </w:rPr>
            </w:pPr>
            <w:r>
              <w:rPr>
                <w:rFonts w:hint="eastAsia" w:ascii="Arial" w:hAnsi="Arial" w:eastAsia="楷体_GB2312" w:cs="Arial"/>
                <w:szCs w:val="21"/>
              </w:rPr>
              <w:t>5、拟作读书报告和主题报告的老师和研究生，请提前一周将PPT发送给团队带头人和召集人，</w:t>
            </w:r>
            <w:r>
              <w:rPr>
                <w:rFonts w:hint="eastAsia" w:ascii="Arial" w:hAnsi="Arial" w:eastAsia="楷体_GB2312" w:cs="Arial"/>
                <w:b/>
                <w:szCs w:val="21"/>
              </w:rPr>
              <w:t>否则取消报告资格</w:t>
            </w:r>
            <w:r>
              <w:rPr>
                <w:rFonts w:hint="eastAsia" w:ascii="Arial" w:hAnsi="Arial" w:eastAsia="楷体_GB2312" w:cs="Arial"/>
                <w:szCs w:val="21"/>
              </w:rPr>
              <w:t>；</w:t>
            </w:r>
          </w:p>
          <w:p>
            <w:pPr>
              <w:adjustRightInd w:val="0"/>
              <w:snapToGrid w:val="0"/>
              <w:spacing w:before="156" w:beforeLines="50" w:beforeAutospacing="0" w:after="0" w:afterAutospacing="0" w:line="260" w:lineRule="exact"/>
              <w:ind w:firstLine="0" w:firstLineChars="0"/>
              <w:rPr>
                <w:rFonts w:ascii="Arial" w:hAnsi="Arial" w:eastAsia="楷体_GB2312" w:cs="Arial"/>
                <w:szCs w:val="21"/>
              </w:rPr>
            </w:pPr>
            <w:r>
              <w:rPr>
                <w:rFonts w:hint="eastAsia" w:ascii="Arial" w:hAnsi="Arial" w:eastAsia="楷体_GB2312" w:cs="Arial"/>
                <w:szCs w:val="21"/>
              </w:rPr>
              <w:t>6、1月7日-1月21日期间，资源微生物研究人员择机赴云南腾冲采样；</w:t>
            </w:r>
          </w:p>
          <w:p>
            <w:pPr>
              <w:adjustRightInd w:val="0"/>
              <w:snapToGrid w:val="0"/>
              <w:spacing w:before="156" w:beforeLines="50" w:after="0" w:line="300" w:lineRule="exact"/>
              <w:ind w:firstLine="0" w:firstLineChars="0"/>
              <w:rPr>
                <w:rFonts w:ascii="Arial" w:hAnsi="Arial" w:eastAsia="楷体_GB2312" w:cs="Arial"/>
                <w:sz w:val="28"/>
                <w:szCs w:val="28"/>
              </w:rPr>
            </w:pPr>
            <w:r>
              <w:rPr>
                <w:rFonts w:hint="eastAsia" w:ascii="Arial" w:hAnsi="Arial" w:eastAsia="楷体_GB2312" w:cs="Arial"/>
                <w:szCs w:val="21"/>
              </w:rPr>
              <w:t>7、10月3日-12月31日，鱼类资源调查人员南阳市开展调查工作。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李  帅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赵卓丽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beforeAutospacing="0" w:after="0" w:afterAutospacing="0" w:line="260" w:lineRule="exact"/>
              <w:ind w:firstLine="0" w:firstLineChars="0"/>
              <w:rPr>
                <w:rFonts w:ascii="Arial" w:hAnsi="Arial" w:eastAsia="楷体_GB2312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张玲玉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朱振祥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郭祥瑞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李岚宇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吉伟利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张建新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明  红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读书报告</w:t>
            </w:r>
          </w:p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（主题报告）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ascii="Arial" w:hAnsi="Arial" w:eastAsia="楷体_GB2312" w:cs="Arial"/>
                <w:sz w:val="24"/>
                <w:szCs w:val="24"/>
              </w:rPr>
              <w:t>201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6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10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29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郑文佳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杨  峰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卢荣华</w:t>
            </w: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张文雅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胡俊仪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张孟丹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于若梦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隋修磊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杨丽萍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卢荣华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团队体育活动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2016-10-30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邀兄弟团队共同开展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杨丽萍</w:t>
            </w: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0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楷体_GB2312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2015级研究生开题报告暨2016级研究生职业发展规划、主题报告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李帅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谢帝芝</w:t>
            </w: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秦超彬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张玉茹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楷体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2016级全体研究生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12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读书报告</w:t>
            </w:r>
          </w:p>
          <w:p>
            <w:pPr>
              <w:spacing w:before="0" w:beforeAutospacing="0" w:after="0" w:afterAutospacing="0" w:line="360" w:lineRule="exact"/>
              <w:ind w:firstLine="12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（主题报告）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ascii="Arial" w:hAnsi="Arial" w:eastAsia="楷体_GB2312" w:cs="Arial"/>
                <w:sz w:val="24"/>
                <w:szCs w:val="24"/>
              </w:rPr>
              <w:t>201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6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11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26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黄建蓉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穆广亚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明  红</w:t>
            </w: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12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李  帅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赵卓丽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张玲玉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朱振祥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郭祥瑞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李岚宇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吉伟利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梁俊平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张玉茹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7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0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2014级研究生硕士论文课题进展报告、省厅级课题、开放课题进展汇报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2016-12-10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郑文佳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杨  峰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梁俊平</w:t>
            </w: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黄建蓉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穆广亚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0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国家基金进展汇报暨2017年国家基金申报工作安排、研究生期末考核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ascii="Arial" w:hAnsi="Arial" w:eastAsia="楷体_GB2312" w:cs="Arial"/>
                <w:sz w:val="24"/>
                <w:szCs w:val="24"/>
              </w:rPr>
              <w:t>201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6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12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24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郑文佳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卢荣华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张玉茹</w:t>
            </w: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12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杨丽萍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梁俊平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12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明  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谢帝芝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12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2017年基金申请人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7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12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团队文艺活动</w:t>
            </w:r>
          </w:p>
        </w:tc>
        <w:tc>
          <w:tcPr>
            <w:tcW w:w="14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2016-12-25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团队全体成员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杨丽萍</w:t>
            </w: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读书报告</w:t>
            </w:r>
          </w:p>
          <w:p>
            <w:pPr>
              <w:spacing w:before="0" w:beforeAutospacing="0" w:after="0" w:afterAutospacing="0" w:line="360" w:lineRule="exact"/>
              <w:ind w:firstLine="12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（主题报告）</w:t>
            </w:r>
          </w:p>
        </w:tc>
        <w:tc>
          <w:tcPr>
            <w:tcW w:w="14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ascii="Arial" w:hAnsi="Arial" w:eastAsia="楷体_GB2312" w:cs="Arial"/>
                <w:sz w:val="24"/>
                <w:szCs w:val="24"/>
              </w:rPr>
              <w:t>201</w:t>
            </w:r>
            <w:r>
              <w:rPr>
                <w:rFonts w:hint="eastAsia" w:ascii="Arial" w:hAnsi="Arial" w:eastAsia="楷体_GB2312" w:cs="Arial"/>
                <w:sz w:val="24"/>
                <w:szCs w:val="24"/>
                <w:lang w:val="en-US" w:eastAsia="zh-CN"/>
              </w:rPr>
              <w:t>7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01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07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郑文佳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杨  峰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秦超彬</w:t>
            </w: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张文雅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胡俊仪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张孟丹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于若梦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隋修磊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聂国兴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sz w:val="24"/>
                <w:szCs w:val="24"/>
              </w:rPr>
              <w:t>孟晓林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2016年度工作总结暨2017年团队工作计划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ascii="Arial" w:hAnsi="Arial" w:eastAsia="楷体_GB2312" w:cs="Arial"/>
                <w:sz w:val="24"/>
                <w:szCs w:val="24"/>
              </w:rPr>
              <w:t>201</w:t>
            </w:r>
            <w:r>
              <w:rPr>
                <w:rFonts w:hint="eastAsia" w:ascii="Arial" w:hAnsi="Arial" w:eastAsia="楷体_GB2312" w:cs="Arial"/>
                <w:sz w:val="24"/>
                <w:szCs w:val="24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01</w:t>
            </w:r>
            <w:r>
              <w:rPr>
                <w:rFonts w:ascii="Arial" w:hAnsi="Arial" w:eastAsia="楷体_GB2312" w:cs="Arial"/>
                <w:sz w:val="24"/>
                <w:szCs w:val="24"/>
              </w:rPr>
              <w:t>-</w:t>
            </w:r>
            <w:r>
              <w:rPr>
                <w:rFonts w:hint="eastAsia" w:ascii="Arial" w:hAnsi="Arial" w:eastAsia="楷体_GB2312" w:cs="Arial"/>
                <w:sz w:val="24"/>
                <w:szCs w:val="24"/>
              </w:rPr>
              <w:t>21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2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sz w:val="24"/>
                <w:szCs w:val="24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</w:rPr>
              <w:t>团队全体成员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center"/>
              <w:rPr>
                <w:rFonts w:ascii="Arial" w:hAnsi="Arial" w:eastAsia="楷体_GB2312" w:cs="Arial"/>
                <w:b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szCs w:val="21"/>
              </w:rPr>
              <w:t>聂国兴</w:t>
            </w: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contextualSpacing/>
              <w:jc w:val="left"/>
              <w:rPr>
                <w:rFonts w:ascii="Arial" w:hAnsi="Arial" w:eastAsia="楷体_GB2312" w:cs="Arial"/>
                <w:sz w:val="28"/>
                <w:szCs w:val="28"/>
              </w:rPr>
            </w:pPr>
          </w:p>
        </w:tc>
      </w:tr>
    </w:tbl>
    <w:p>
      <w:pPr>
        <w:spacing w:before="0" w:beforeAutospacing="0" w:after="0" w:afterAutospacing="0" w:line="360" w:lineRule="exact"/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74" w:bottom="1134" w:left="1474" w:header="851" w:footer="46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9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9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9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9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9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E1"/>
    <w:rsid w:val="000945F2"/>
    <w:rsid w:val="000E10FA"/>
    <w:rsid w:val="00121814"/>
    <w:rsid w:val="00172957"/>
    <w:rsid w:val="0019362F"/>
    <w:rsid w:val="0025476D"/>
    <w:rsid w:val="002C5799"/>
    <w:rsid w:val="00315483"/>
    <w:rsid w:val="00362848"/>
    <w:rsid w:val="003D209A"/>
    <w:rsid w:val="003F20C0"/>
    <w:rsid w:val="004547E9"/>
    <w:rsid w:val="00456ED6"/>
    <w:rsid w:val="004873BB"/>
    <w:rsid w:val="004B5852"/>
    <w:rsid w:val="004B642C"/>
    <w:rsid w:val="00501950"/>
    <w:rsid w:val="00553BC5"/>
    <w:rsid w:val="005A30B3"/>
    <w:rsid w:val="005B6CCD"/>
    <w:rsid w:val="00614B10"/>
    <w:rsid w:val="00631983"/>
    <w:rsid w:val="006639D5"/>
    <w:rsid w:val="006B60C3"/>
    <w:rsid w:val="006C6E8F"/>
    <w:rsid w:val="006E0604"/>
    <w:rsid w:val="007071CC"/>
    <w:rsid w:val="007B2A3F"/>
    <w:rsid w:val="008616CF"/>
    <w:rsid w:val="00867DC0"/>
    <w:rsid w:val="008A6D4B"/>
    <w:rsid w:val="008C54FC"/>
    <w:rsid w:val="008D499B"/>
    <w:rsid w:val="00993A63"/>
    <w:rsid w:val="009F331F"/>
    <w:rsid w:val="00A14155"/>
    <w:rsid w:val="00A61849"/>
    <w:rsid w:val="00A654F0"/>
    <w:rsid w:val="00A94A3A"/>
    <w:rsid w:val="00AD1425"/>
    <w:rsid w:val="00B03242"/>
    <w:rsid w:val="00B20373"/>
    <w:rsid w:val="00B45278"/>
    <w:rsid w:val="00B5774E"/>
    <w:rsid w:val="00BB22DE"/>
    <w:rsid w:val="00BB78D1"/>
    <w:rsid w:val="00C76421"/>
    <w:rsid w:val="00D2067A"/>
    <w:rsid w:val="00D525E6"/>
    <w:rsid w:val="00D648BB"/>
    <w:rsid w:val="00D80710"/>
    <w:rsid w:val="00D80DCC"/>
    <w:rsid w:val="00D96916"/>
    <w:rsid w:val="00DA22CC"/>
    <w:rsid w:val="00DB2AA7"/>
    <w:rsid w:val="00E6429A"/>
    <w:rsid w:val="00E84A0E"/>
    <w:rsid w:val="00EB1734"/>
    <w:rsid w:val="00EC1AFD"/>
    <w:rsid w:val="00EC1C53"/>
    <w:rsid w:val="00EE7BBE"/>
    <w:rsid w:val="00F061E1"/>
    <w:rsid w:val="00F20E27"/>
    <w:rsid w:val="00F26BE2"/>
    <w:rsid w:val="4EAF4C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ind w:firstLine="50" w:firstLineChars="5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before="100" w:beforeAutospacing="1" w:after="100" w:afterAutospacing="1"/>
      <w:ind w:firstLine="50" w:firstLineChars="5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C3603B-7F3D-488A-9018-C488625256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河南师范大学</Company>
  <Pages>1</Pages>
  <Words>186</Words>
  <Characters>1065</Characters>
  <Lines>8</Lines>
  <Paragraphs>2</Paragraphs>
  <TotalTime>0</TotalTime>
  <ScaleCrop>false</ScaleCrop>
  <LinksUpToDate>false</LinksUpToDate>
  <CharactersWithSpaces>1249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2015-02-09T02:59:00Z</dcterms:created>
  <dc:creator>水产学院</dc:creator>
  <cp:lastModifiedBy>文佳</cp:lastModifiedBy>
  <cp:lastPrinted>2016-09-25T09:05:00Z</cp:lastPrinted>
  <dcterms:modified xsi:type="dcterms:W3CDTF">2016-10-02T02:54:42Z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